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11B9F" w14:textId="6E85C7BC" w:rsidR="00CB65FC" w:rsidRDefault="00CB65FC" w:rsidP="00CB65FC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C28FF">
        <w:rPr>
          <w:rFonts w:ascii="Times New Roman" w:hAnsi="Times New Roman" w:cs="Times New Roman"/>
          <w:sz w:val="28"/>
          <w:szCs w:val="28"/>
        </w:rPr>
        <w:t>3</w:t>
      </w:r>
    </w:p>
    <w:p w14:paraId="377EB0B3" w14:textId="5988CB25" w:rsidR="000A20E4" w:rsidRDefault="00CB65FC" w:rsidP="00FC28FF">
      <w:pPr>
        <w:spacing w:after="0" w:line="360" w:lineRule="auto"/>
        <w:ind w:firstLine="851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Сравнение геокриологических признаков </w:t>
      </w:r>
      <w:r w:rsidR="00FC28FF">
        <w:rPr>
          <w:rFonts w:ascii="Times New Roman" w:hAnsi="Times New Roman" w:cs="Times New Roman"/>
          <w:sz w:val="28"/>
          <w:szCs w:val="28"/>
        </w:rPr>
        <w:t xml:space="preserve">крупнейших мезозойских депрессий </w:t>
      </w:r>
      <w:r>
        <w:rPr>
          <w:rFonts w:ascii="Times New Roman" w:hAnsi="Times New Roman" w:cs="Times New Roman"/>
          <w:sz w:val="28"/>
          <w:szCs w:val="28"/>
        </w:rPr>
        <w:t>Алданского щита.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2455"/>
        <w:gridCol w:w="2455"/>
        <w:gridCol w:w="2455"/>
      </w:tblGrid>
      <w:tr w:rsidR="004A1507" w:rsidRPr="00CB65FC" w14:paraId="3D01A15B" w14:textId="77777777" w:rsidTr="00CB65FC">
        <w:tc>
          <w:tcPr>
            <w:tcW w:w="1980" w:type="dxa"/>
            <w:vAlign w:val="center"/>
          </w:tcPr>
          <w:p w14:paraId="5B584594" w14:textId="55FC3F24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Геокриологические признаки</w:t>
            </w:r>
          </w:p>
        </w:tc>
        <w:tc>
          <w:tcPr>
            <w:tcW w:w="2455" w:type="dxa"/>
            <w:vAlign w:val="center"/>
          </w:tcPr>
          <w:p w14:paraId="6472372C" w14:textId="490F2A3C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Алдано-Чульманская</w:t>
            </w:r>
            <w:proofErr w:type="spellEnd"/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впадина</w:t>
            </w:r>
          </w:p>
        </w:tc>
        <w:tc>
          <w:tcPr>
            <w:tcW w:w="2455" w:type="dxa"/>
            <w:vAlign w:val="center"/>
          </w:tcPr>
          <w:p w14:paraId="0CBB8F38" w14:textId="65D417B0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Структуры </w:t>
            </w:r>
            <w:proofErr w:type="spellStart"/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Гонамского</w:t>
            </w:r>
            <w:proofErr w:type="spellEnd"/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бассейна</w:t>
            </w:r>
          </w:p>
        </w:tc>
        <w:tc>
          <w:tcPr>
            <w:tcW w:w="2455" w:type="dxa"/>
            <w:vAlign w:val="center"/>
          </w:tcPr>
          <w:p w14:paraId="127210F7" w14:textId="149D9741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Токинская</w:t>
            </w:r>
            <w:proofErr w:type="spellEnd"/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впадина</w:t>
            </w:r>
          </w:p>
        </w:tc>
      </w:tr>
      <w:tr w:rsidR="004A1507" w:rsidRPr="00CB65FC" w14:paraId="08F2BBB8" w14:textId="77777777" w:rsidTr="00CB65FC">
        <w:tc>
          <w:tcPr>
            <w:tcW w:w="1980" w:type="dxa"/>
            <w:vAlign w:val="center"/>
          </w:tcPr>
          <w:p w14:paraId="029800CC" w14:textId="7CC043B2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Тип промерзания</w:t>
            </w:r>
          </w:p>
        </w:tc>
        <w:tc>
          <w:tcPr>
            <w:tcW w:w="2455" w:type="dxa"/>
            <w:vAlign w:val="center"/>
          </w:tcPr>
          <w:p w14:paraId="1C633255" w14:textId="76F1EE82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Прерывистый, местами массивно-островной</w:t>
            </w:r>
          </w:p>
        </w:tc>
        <w:tc>
          <w:tcPr>
            <w:tcW w:w="2455" w:type="dxa"/>
            <w:vAlign w:val="center"/>
          </w:tcPr>
          <w:p w14:paraId="248E9E68" w14:textId="3A57F254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Сплошной, талики возможны очень локально</w:t>
            </w:r>
          </w:p>
        </w:tc>
        <w:tc>
          <w:tcPr>
            <w:tcW w:w="2455" w:type="dxa"/>
            <w:vAlign w:val="center"/>
          </w:tcPr>
          <w:p w14:paraId="0E5FB6C1" w14:textId="5AF85928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Сплошной, талики приурочены к крупным водотокам и флювиогляциальным отложениям</w:t>
            </w:r>
          </w:p>
        </w:tc>
      </w:tr>
      <w:tr w:rsidR="004A1507" w:rsidRPr="00CB65FC" w14:paraId="0AF5D524" w14:textId="77777777" w:rsidTr="00CB65FC">
        <w:tc>
          <w:tcPr>
            <w:tcW w:w="1980" w:type="dxa"/>
            <w:vAlign w:val="center"/>
          </w:tcPr>
          <w:p w14:paraId="63183EC2" w14:textId="048128CE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Природный ландшафт</w:t>
            </w:r>
          </w:p>
        </w:tc>
        <w:tc>
          <w:tcPr>
            <w:tcW w:w="2455" w:type="dxa"/>
            <w:vAlign w:val="center"/>
          </w:tcPr>
          <w:p w14:paraId="342C8C2B" w14:textId="6A070F12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 xml:space="preserve">Преобладание </w:t>
            </w:r>
            <w:proofErr w:type="spellStart"/>
            <w:r w:rsidRPr="00CB65FC">
              <w:rPr>
                <w:rFonts w:ascii="Times New Roman" w:hAnsi="Times New Roman"/>
                <w:sz w:val="24"/>
                <w:szCs w:val="24"/>
              </w:rPr>
              <w:t>выположенных</w:t>
            </w:r>
            <w:proofErr w:type="spellEnd"/>
            <w:r w:rsidRPr="00CB65FC">
              <w:rPr>
                <w:rFonts w:ascii="Times New Roman" w:hAnsi="Times New Roman"/>
                <w:sz w:val="24"/>
                <w:szCs w:val="24"/>
              </w:rPr>
              <w:t xml:space="preserve"> водораздельных пространств</w:t>
            </w:r>
          </w:p>
        </w:tc>
        <w:tc>
          <w:tcPr>
            <w:tcW w:w="2455" w:type="dxa"/>
            <w:vAlign w:val="center"/>
          </w:tcPr>
          <w:p w14:paraId="2C0A127B" w14:textId="2BDA1423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Преобладание маревого ландшафт</w:t>
            </w:r>
          </w:p>
        </w:tc>
        <w:tc>
          <w:tcPr>
            <w:tcW w:w="2455" w:type="dxa"/>
            <w:vAlign w:val="center"/>
          </w:tcPr>
          <w:p w14:paraId="1973CFC1" w14:textId="68433A16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Сочетание среднегорного и платообразного рельефа</w:t>
            </w:r>
          </w:p>
        </w:tc>
      </w:tr>
      <w:tr w:rsidR="004A1507" w:rsidRPr="00CB65FC" w14:paraId="20CDB19E" w14:textId="77777777" w:rsidTr="00CB65FC">
        <w:tc>
          <w:tcPr>
            <w:tcW w:w="1980" w:type="dxa"/>
            <w:vAlign w:val="center"/>
          </w:tcPr>
          <w:p w14:paraId="13FE7822" w14:textId="761840BF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Температура ММП</w:t>
            </w:r>
          </w:p>
        </w:tc>
        <w:tc>
          <w:tcPr>
            <w:tcW w:w="2455" w:type="dxa"/>
            <w:vAlign w:val="center"/>
          </w:tcPr>
          <w:p w14:paraId="245370B8" w14:textId="1B78C8AA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Преобладают высокотемпературные ММП</w:t>
            </w:r>
          </w:p>
        </w:tc>
        <w:tc>
          <w:tcPr>
            <w:tcW w:w="2455" w:type="dxa"/>
            <w:vAlign w:val="center"/>
          </w:tcPr>
          <w:p w14:paraId="3017F772" w14:textId="03B6DD2E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Температура пород чаще всего изменяется от -3.0 до -1.0°С</w:t>
            </w:r>
          </w:p>
        </w:tc>
        <w:tc>
          <w:tcPr>
            <w:tcW w:w="2455" w:type="dxa"/>
            <w:vAlign w:val="center"/>
          </w:tcPr>
          <w:p w14:paraId="227C9786" w14:textId="194FE2C3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Широкий диапазон температур, развиты низкотемпературные ММП</w:t>
            </w:r>
          </w:p>
        </w:tc>
      </w:tr>
      <w:tr w:rsidR="004A1507" w:rsidRPr="00CB65FC" w14:paraId="61D5D1FA" w14:textId="77777777" w:rsidTr="00CB65FC">
        <w:tc>
          <w:tcPr>
            <w:tcW w:w="1980" w:type="dxa"/>
            <w:vAlign w:val="center"/>
          </w:tcPr>
          <w:p w14:paraId="0E23CE3F" w14:textId="28BB1D65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Мощность ММТ</w:t>
            </w:r>
          </w:p>
        </w:tc>
        <w:tc>
          <w:tcPr>
            <w:tcW w:w="2455" w:type="dxa"/>
            <w:vAlign w:val="center"/>
          </w:tcPr>
          <w:p w14:paraId="0EAC042E" w14:textId="2D637B44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До 150 м, редко до 200 м</w:t>
            </w:r>
          </w:p>
        </w:tc>
        <w:tc>
          <w:tcPr>
            <w:tcW w:w="2455" w:type="dxa"/>
            <w:vAlign w:val="center"/>
          </w:tcPr>
          <w:p w14:paraId="78292283" w14:textId="5C7CB5CB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Чаще от 80 до 250 м, по результатам расчетов возможно 300 м</w:t>
            </w:r>
          </w:p>
        </w:tc>
        <w:tc>
          <w:tcPr>
            <w:tcW w:w="2455" w:type="dxa"/>
            <w:vAlign w:val="center"/>
          </w:tcPr>
          <w:p w14:paraId="5D1DF892" w14:textId="375721A3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Широкий диапазон, от 20 до 260 м</w:t>
            </w:r>
          </w:p>
        </w:tc>
      </w:tr>
      <w:tr w:rsidR="004A1507" w:rsidRPr="00CB65FC" w14:paraId="08504882" w14:textId="77777777" w:rsidTr="00CB65FC">
        <w:tc>
          <w:tcPr>
            <w:tcW w:w="1980" w:type="dxa"/>
            <w:vAlign w:val="center"/>
          </w:tcPr>
          <w:p w14:paraId="62E554F6" w14:textId="24B22B7B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Экзогенные криогенные явления</w:t>
            </w:r>
          </w:p>
        </w:tc>
        <w:tc>
          <w:tcPr>
            <w:tcW w:w="2455" w:type="dxa"/>
            <w:vAlign w:val="center"/>
          </w:tcPr>
          <w:p w14:paraId="12F945D9" w14:textId="623AC92D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Имеют повсеместное и очень разнообразное развитие</w:t>
            </w:r>
          </w:p>
        </w:tc>
        <w:tc>
          <w:tcPr>
            <w:tcW w:w="2455" w:type="dxa"/>
            <w:vAlign w:val="center"/>
          </w:tcPr>
          <w:p w14:paraId="7FF95F8F" w14:textId="0444A5BC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Развиты локально и в ограниченном количестве</w:t>
            </w:r>
          </w:p>
        </w:tc>
        <w:tc>
          <w:tcPr>
            <w:tcW w:w="2455" w:type="dxa"/>
            <w:vAlign w:val="center"/>
          </w:tcPr>
          <w:p w14:paraId="1CD3E6F7" w14:textId="5896BD5D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Имеют повсеместное и очень разнообразное развитие</w:t>
            </w:r>
          </w:p>
        </w:tc>
      </w:tr>
      <w:tr w:rsidR="004A1507" w:rsidRPr="00CB65FC" w14:paraId="731872F4" w14:textId="77777777" w:rsidTr="00CB65FC">
        <w:tc>
          <w:tcPr>
            <w:tcW w:w="1980" w:type="dxa"/>
            <w:vAlign w:val="center"/>
          </w:tcPr>
          <w:p w14:paraId="0AFA4E3D" w14:textId="29EB8F19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Подземные воды</w:t>
            </w:r>
          </w:p>
        </w:tc>
        <w:tc>
          <w:tcPr>
            <w:tcW w:w="2455" w:type="dxa"/>
            <w:vAlign w:val="center"/>
          </w:tcPr>
          <w:p w14:paraId="3F9837AD" w14:textId="4CDD84A7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Имеют характерные особенности питания, залегания и взаимодействия с ММП</w:t>
            </w:r>
          </w:p>
        </w:tc>
        <w:tc>
          <w:tcPr>
            <w:tcW w:w="2455" w:type="dxa"/>
            <w:vAlign w:val="center"/>
          </w:tcPr>
          <w:p w14:paraId="4D9CC68E" w14:textId="6936DAF3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Изучены слабо</w:t>
            </w:r>
          </w:p>
        </w:tc>
        <w:tc>
          <w:tcPr>
            <w:tcW w:w="2455" w:type="dxa"/>
            <w:vAlign w:val="center"/>
          </w:tcPr>
          <w:p w14:paraId="127A2635" w14:textId="787A85C6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Залегание водоносных горизонтов на значительную глубину и невыдержанность водоносных зон</w:t>
            </w:r>
          </w:p>
        </w:tc>
      </w:tr>
      <w:tr w:rsidR="004A1507" w:rsidRPr="00CB65FC" w14:paraId="31D8990D" w14:textId="77777777" w:rsidTr="00CB65FC">
        <w:tc>
          <w:tcPr>
            <w:tcW w:w="1980" w:type="dxa"/>
            <w:vAlign w:val="center"/>
          </w:tcPr>
          <w:p w14:paraId="0BFEE139" w14:textId="0F6AF38B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5FC">
              <w:rPr>
                <w:rFonts w:ascii="Times New Roman" w:hAnsi="Times New Roman"/>
                <w:b/>
                <w:bCs/>
                <w:sz w:val="24"/>
                <w:szCs w:val="24"/>
              </w:rPr>
              <w:t>Растительность</w:t>
            </w:r>
          </w:p>
        </w:tc>
        <w:tc>
          <w:tcPr>
            <w:tcW w:w="2455" w:type="dxa"/>
            <w:vAlign w:val="center"/>
          </w:tcPr>
          <w:p w14:paraId="4C12EE72" w14:textId="150DE3A8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Богатое разнообразие, от массивов светлохвойных пород до лиственничных редин</w:t>
            </w:r>
          </w:p>
        </w:tc>
        <w:tc>
          <w:tcPr>
            <w:tcW w:w="2455" w:type="dxa"/>
            <w:vAlign w:val="center"/>
          </w:tcPr>
          <w:p w14:paraId="0D5261BC" w14:textId="50E3546F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Фитоценозы типичны и скудны</w:t>
            </w:r>
          </w:p>
        </w:tc>
        <w:tc>
          <w:tcPr>
            <w:tcW w:w="2455" w:type="dxa"/>
            <w:vAlign w:val="center"/>
          </w:tcPr>
          <w:p w14:paraId="2C7C265D" w14:textId="3C2B0D34" w:rsidR="004A1507" w:rsidRPr="00CB65FC" w:rsidRDefault="004A1507" w:rsidP="00CB6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5FC">
              <w:rPr>
                <w:rFonts w:ascii="Times New Roman" w:hAnsi="Times New Roman"/>
                <w:sz w:val="24"/>
                <w:szCs w:val="24"/>
              </w:rPr>
              <w:t>Широкое разнообразие</w:t>
            </w:r>
          </w:p>
        </w:tc>
      </w:tr>
    </w:tbl>
    <w:p w14:paraId="30B3F8C2" w14:textId="77777777" w:rsidR="004A1507" w:rsidRDefault="004A1507" w:rsidP="000A20E4"/>
    <w:sectPr w:rsidR="004A1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F1"/>
    <w:rsid w:val="0008477D"/>
    <w:rsid w:val="000A20E4"/>
    <w:rsid w:val="002E56B9"/>
    <w:rsid w:val="003D5835"/>
    <w:rsid w:val="004A1507"/>
    <w:rsid w:val="007F1A7F"/>
    <w:rsid w:val="00A448F1"/>
    <w:rsid w:val="00CB65FC"/>
    <w:rsid w:val="00D47301"/>
    <w:rsid w:val="00E94CCB"/>
    <w:rsid w:val="00FC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62E8C7"/>
  <w14:defaultImageDpi w14:val="330"/>
  <w15:chartTrackingRefBased/>
  <w15:docId w15:val="{024E2ECE-84B6-44BB-ACC3-387B9D3DD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CCB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4C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E94C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E94CCB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E94C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Sysolyatin</dc:creator>
  <cp:keywords/>
  <dc:description/>
  <cp:lastModifiedBy>Robert Sysolyatin</cp:lastModifiedBy>
  <cp:revision>9</cp:revision>
  <dcterms:created xsi:type="dcterms:W3CDTF">2023-04-10T15:20:00Z</dcterms:created>
  <dcterms:modified xsi:type="dcterms:W3CDTF">2023-04-12T07:33:00Z</dcterms:modified>
</cp:coreProperties>
</file>